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29" w:type="dxa"/>
          <w:left w:w="115" w:type="dxa"/>
          <w:bottom w:w="29" w:type="dxa"/>
          <w:right w:w="115" w:type="dxa"/>
        </w:tblCellMar>
        <w:tblLook w:val="04A0" w:firstRow="1" w:lastRow="0" w:firstColumn="1" w:lastColumn="0" w:noHBand="0" w:noVBand="1"/>
      </w:tblPr>
      <w:tblGrid>
        <w:gridCol w:w="4788"/>
        <w:gridCol w:w="4788"/>
      </w:tblGrid>
      <w:tr w:rsidR="002045C9" w:rsidRPr="009874F9" w:rsidTr="00234A1C">
        <w:tc>
          <w:tcPr>
            <w:tcW w:w="9576" w:type="dxa"/>
            <w:gridSpan w:val="2"/>
            <w:tcBorders>
              <w:top w:val="single" w:sz="12" w:space="0" w:color="auto"/>
              <w:left w:val="single" w:sz="12" w:space="0" w:color="auto"/>
              <w:bottom w:val="single" w:sz="12" w:space="0" w:color="auto"/>
              <w:right w:val="single" w:sz="12" w:space="0" w:color="auto"/>
            </w:tcBorders>
            <w:shd w:val="clear" w:color="auto" w:fill="auto"/>
          </w:tcPr>
          <w:p w:rsidR="002045C9" w:rsidRPr="005D0D60" w:rsidRDefault="002045C9" w:rsidP="00234A1C">
            <w:pPr>
              <w:spacing w:before="240" w:after="240"/>
              <w:jc w:val="center"/>
              <w:rPr>
                <w:rFonts w:ascii="Times New Roman" w:hAnsi="Times New Roman"/>
                <w:b/>
                <w:caps/>
                <w:sz w:val="28"/>
              </w:rPr>
            </w:pPr>
            <w:r w:rsidRPr="005D0D60">
              <w:rPr>
                <w:rFonts w:ascii="Times New Roman" w:hAnsi="Times New Roman"/>
                <w:b/>
                <w:caps/>
                <w:sz w:val="28"/>
              </w:rPr>
              <w:t>Project Summary</w:t>
            </w:r>
          </w:p>
        </w:tc>
      </w:tr>
      <w:tr w:rsidR="002045C9" w:rsidRPr="009874F9" w:rsidTr="00234A1C">
        <w:tc>
          <w:tcPr>
            <w:tcW w:w="9576" w:type="dxa"/>
            <w:gridSpan w:val="2"/>
            <w:tcBorders>
              <w:top w:val="single" w:sz="12" w:space="0" w:color="auto"/>
              <w:bottom w:val="single" w:sz="4" w:space="0" w:color="auto"/>
            </w:tcBorders>
            <w:shd w:val="clear" w:color="auto" w:fill="auto"/>
          </w:tcPr>
          <w:p w:rsidR="002045C9" w:rsidRPr="005D0D60" w:rsidRDefault="002045C9" w:rsidP="00234A1C">
            <w:pPr>
              <w:rPr>
                <w:rFonts w:ascii="Times New Roman" w:hAnsi="Times New Roman"/>
              </w:rPr>
            </w:pPr>
          </w:p>
          <w:p w:rsidR="002045C9" w:rsidRPr="005D0D60" w:rsidRDefault="002045C9" w:rsidP="00234A1C">
            <w:pPr>
              <w:rPr>
                <w:rFonts w:ascii="Times New Roman" w:hAnsi="Times New Roman"/>
              </w:rPr>
            </w:pPr>
          </w:p>
          <w:p w:rsidR="002045C9" w:rsidRPr="005D0D60" w:rsidRDefault="002045C9" w:rsidP="00234A1C">
            <w:pPr>
              <w:rPr>
                <w:rFonts w:ascii="Times New Roman" w:hAnsi="Times New Roman"/>
              </w:rPr>
            </w:pPr>
          </w:p>
        </w:tc>
      </w:tr>
      <w:tr w:rsidR="002045C9" w:rsidRPr="008335F9" w:rsidTr="00234A1C">
        <w:tc>
          <w:tcPr>
            <w:tcW w:w="9576" w:type="dxa"/>
            <w:gridSpan w:val="2"/>
            <w:tcBorders>
              <w:top w:val="single" w:sz="4" w:space="0" w:color="auto"/>
              <w:bottom w:val="single" w:sz="4" w:space="0" w:color="auto"/>
            </w:tcBorders>
            <w:shd w:val="clear" w:color="auto" w:fill="auto"/>
          </w:tcPr>
          <w:p w:rsidR="002045C9" w:rsidRPr="005D0D60" w:rsidRDefault="002045C9" w:rsidP="00234A1C">
            <w:pPr>
              <w:ind w:left="630" w:hanging="630"/>
              <w:rPr>
                <w:rFonts w:ascii="Times New Roman" w:hAnsi="Times New Roman"/>
                <w:sz w:val="20"/>
                <w:szCs w:val="20"/>
              </w:rPr>
            </w:pPr>
            <w:r w:rsidRPr="00772CFE">
              <w:rPr>
                <w:rFonts w:ascii="Times New Roman" w:hAnsi="Times New Roman"/>
                <w:b/>
                <w:szCs w:val="20"/>
              </w:rPr>
              <w:t>Title:</w:t>
            </w:r>
            <w:r w:rsidRPr="00772CFE">
              <w:rPr>
                <w:rFonts w:ascii="Times New Roman" w:hAnsi="Times New Roman"/>
                <w:szCs w:val="20"/>
              </w:rPr>
              <w:t xml:space="preserve"> </w:t>
            </w:r>
            <w:r w:rsidRPr="00772CFE">
              <w:rPr>
                <w:rFonts w:ascii="Times New Roman" w:eastAsia="Times" w:hAnsi="Times New Roman"/>
              </w:rPr>
              <w:t>Efficacy and ecological impacts of transgenic</w:t>
            </w:r>
            <w:r w:rsidRPr="00772CFE">
              <w:rPr>
                <w:rFonts w:ascii="Times New Roman" w:hAnsi="Times New Roman"/>
              </w:rPr>
              <w:t xml:space="preserve"> containment technologies in poplar</w:t>
            </w:r>
          </w:p>
        </w:tc>
      </w:tr>
      <w:tr w:rsidR="002045C9" w:rsidRPr="008335F9" w:rsidTr="00234A1C">
        <w:tc>
          <w:tcPr>
            <w:tcW w:w="4788" w:type="dxa"/>
            <w:tcBorders>
              <w:top w:val="single" w:sz="4" w:space="0" w:color="auto"/>
              <w:bottom w:val="single" w:sz="4" w:space="0" w:color="auto"/>
            </w:tcBorders>
            <w:shd w:val="clear" w:color="auto" w:fill="auto"/>
          </w:tcPr>
          <w:p w:rsidR="002045C9" w:rsidRPr="005D0D60" w:rsidRDefault="002045C9" w:rsidP="00234A1C">
            <w:pPr>
              <w:rPr>
                <w:rFonts w:ascii="Times New Roman" w:hAnsi="Times New Roman"/>
                <w:sz w:val="20"/>
                <w:szCs w:val="20"/>
              </w:rPr>
            </w:pPr>
            <w:r w:rsidRPr="005D0D60">
              <w:rPr>
                <w:rFonts w:ascii="Times New Roman" w:hAnsi="Times New Roman"/>
                <w:b/>
                <w:sz w:val="20"/>
                <w:szCs w:val="20"/>
              </w:rPr>
              <w:t>PD:</w:t>
            </w:r>
            <w:r w:rsidRPr="005D0D60">
              <w:rPr>
                <w:sz w:val="20"/>
                <w:szCs w:val="20"/>
              </w:rPr>
              <w:t xml:space="preserve"> </w:t>
            </w:r>
            <w:r w:rsidRPr="005D0D60">
              <w:rPr>
                <w:rFonts w:ascii="Times New Roman" w:hAnsi="Times New Roman"/>
                <w:sz w:val="20"/>
                <w:szCs w:val="20"/>
              </w:rPr>
              <w:t>Strauss, Steven, H</w:t>
            </w:r>
          </w:p>
        </w:tc>
        <w:tc>
          <w:tcPr>
            <w:tcW w:w="4788" w:type="dxa"/>
            <w:tcBorders>
              <w:top w:val="single" w:sz="4" w:space="0" w:color="auto"/>
              <w:bottom w:val="single" w:sz="4" w:space="0" w:color="auto"/>
            </w:tcBorders>
            <w:shd w:val="clear" w:color="auto" w:fill="auto"/>
          </w:tcPr>
          <w:p w:rsidR="002045C9" w:rsidRPr="005D0D60" w:rsidRDefault="002045C9" w:rsidP="00234A1C">
            <w:pPr>
              <w:rPr>
                <w:rFonts w:ascii="Times New Roman" w:hAnsi="Times New Roman"/>
                <w:sz w:val="20"/>
                <w:szCs w:val="20"/>
              </w:rPr>
            </w:pPr>
            <w:r w:rsidRPr="005D0D60">
              <w:rPr>
                <w:rFonts w:ascii="Times New Roman" w:hAnsi="Times New Roman"/>
                <w:b/>
                <w:sz w:val="20"/>
                <w:szCs w:val="20"/>
              </w:rPr>
              <w:t>Institution:</w:t>
            </w:r>
            <w:r w:rsidRPr="005D0D60">
              <w:rPr>
                <w:rFonts w:ascii="Times New Roman" w:hAnsi="Times New Roman"/>
                <w:sz w:val="20"/>
                <w:szCs w:val="20"/>
              </w:rPr>
              <w:t xml:space="preserve"> Oregon State University</w:t>
            </w:r>
          </w:p>
        </w:tc>
      </w:tr>
      <w:tr w:rsidR="002045C9" w:rsidRPr="008335F9" w:rsidTr="00234A1C">
        <w:tc>
          <w:tcPr>
            <w:tcW w:w="4788" w:type="dxa"/>
            <w:tcBorders>
              <w:top w:val="single" w:sz="4" w:space="0" w:color="auto"/>
              <w:bottom w:val="single" w:sz="4" w:space="0" w:color="auto"/>
            </w:tcBorders>
            <w:shd w:val="clear" w:color="auto" w:fill="auto"/>
          </w:tcPr>
          <w:p w:rsidR="002045C9" w:rsidRPr="005D0D60" w:rsidRDefault="002045C9" w:rsidP="00234A1C">
            <w:pPr>
              <w:rPr>
                <w:rFonts w:ascii="Times New Roman" w:hAnsi="Times New Roman"/>
                <w:sz w:val="20"/>
                <w:szCs w:val="20"/>
              </w:rPr>
            </w:pPr>
            <w:r w:rsidRPr="005D0D60">
              <w:rPr>
                <w:rFonts w:ascii="Times New Roman" w:hAnsi="Times New Roman"/>
                <w:b/>
                <w:sz w:val="20"/>
                <w:szCs w:val="20"/>
              </w:rPr>
              <w:t>CO-PD:</w:t>
            </w:r>
            <w:r w:rsidRPr="005D0D60">
              <w:rPr>
                <w:rFonts w:ascii="Times New Roman" w:hAnsi="Times New Roman"/>
                <w:sz w:val="20"/>
                <w:szCs w:val="20"/>
              </w:rPr>
              <w:t xml:space="preserve"> Klocko, Amy</w:t>
            </w:r>
          </w:p>
        </w:tc>
        <w:tc>
          <w:tcPr>
            <w:tcW w:w="4788" w:type="dxa"/>
            <w:tcBorders>
              <w:top w:val="single" w:sz="4" w:space="0" w:color="auto"/>
              <w:bottom w:val="single" w:sz="4" w:space="0" w:color="auto"/>
            </w:tcBorders>
            <w:shd w:val="clear" w:color="auto" w:fill="auto"/>
          </w:tcPr>
          <w:p w:rsidR="002045C9" w:rsidRPr="005D0D60" w:rsidRDefault="002045C9" w:rsidP="00234A1C">
            <w:pPr>
              <w:rPr>
                <w:rFonts w:ascii="Times New Roman" w:hAnsi="Times New Roman"/>
                <w:sz w:val="20"/>
                <w:szCs w:val="20"/>
              </w:rPr>
            </w:pPr>
            <w:r w:rsidRPr="005D0D60">
              <w:rPr>
                <w:rFonts w:ascii="Times New Roman" w:hAnsi="Times New Roman"/>
                <w:b/>
                <w:sz w:val="20"/>
                <w:szCs w:val="20"/>
              </w:rPr>
              <w:t>Institution:</w:t>
            </w:r>
            <w:r w:rsidRPr="005D0D60">
              <w:rPr>
                <w:rFonts w:ascii="Times New Roman" w:hAnsi="Times New Roman"/>
                <w:sz w:val="20"/>
                <w:szCs w:val="20"/>
              </w:rPr>
              <w:t xml:space="preserve"> Oregon State University</w:t>
            </w:r>
          </w:p>
        </w:tc>
      </w:tr>
      <w:tr w:rsidR="002045C9" w:rsidRPr="008335F9" w:rsidTr="00234A1C">
        <w:tc>
          <w:tcPr>
            <w:tcW w:w="4788" w:type="dxa"/>
            <w:tcBorders>
              <w:top w:val="single" w:sz="4" w:space="0" w:color="auto"/>
              <w:bottom w:val="single" w:sz="4" w:space="0" w:color="auto"/>
            </w:tcBorders>
            <w:shd w:val="clear" w:color="auto" w:fill="auto"/>
          </w:tcPr>
          <w:p w:rsidR="002045C9" w:rsidRPr="005D0D60" w:rsidRDefault="002045C9" w:rsidP="00234A1C">
            <w:pPr>
              <w:rPr>
                <w:rFonts w:ascii="Times New Roman" w:hAnsi="Times New Roman"/>
                <w:sz w:val="20"/>
                <w:szCs w:val="20"/>
              </w:rPr>
            </w:pPr>
            <w:r w:rsidRPr="005D0D60">
              <w:rPr>
                <w:rFonts w:ascii="Times New Roman" w:hAnsi="Times New Roman"/>
                <w:b/>
                <w:sz w:val="20"/>
                <w:szCs w:val="20"/>
              </w:rPr>
              <w:t>CO-PD:</w:t>
            </w:r>
            <w:r w:rsidRPr="005D0D60">
              <w:rPr>
                <w:rFonts w:ascii="Times New Roman" w:hAnsi="Times New Roman"/>
                <w:sz w:val="20"/>
                <w:szCs w:val="20"/>
              </w:rPr>
              <w:t xml:space="preserve"> </w:t>
            </w:r>
            <w:r>
              <w:rPr>
                <w:rFonts w:ascii="Times New Roman" w:hAnsi="Times New Roman"/>
                <w:sz w:val="20"/>
                <w:szCs w:val="20"/>
              </w:rPr>
              <w:t>Betts, Matt</w:t>
            </w:r>
          </w:p>
        </w:tc>
        <w:tc>
          <w:tcPr>
            <w:tcW w:w="4788" w:type="dxa"/>
            <w:tcBorders>
              <w:top w:val="single" w:sz="4" w:space="0" w:color="auto"/>
              <w:bottom w:val="single" w:sz="4" w:space="0" w:color="auto"/>
            </w:tcBorders>
            <w:shd w:val="clear" w:color="auto" w:fill="auto"/>
          </w:tcPr>
          <w:p w:rsidR="002045C9" w:rsidRPr="005D0D60" w:rsidRDefault="002045C9" w:rsidP="00234A1C">
            <w:pPr>
              <w:rPr>
                <w:rFonts w:ascii="Times New Roman" w:hAnsi="Times New Roman"/>
                <w:sz w:val="20"/>
                <w:szCs w:val="20"/>
              </w:rPr>
            </w:pPr>
            <w:r w:rsidRPr="005D0D60">
              <w:rPr>
                <w:rFonts w:ascii="Times New Roman" w:hAnsi="Times New Roman"/>
                <w:b/>
                <w:sz w:val="20"/>
                <w:szCs w:val="20"/>
              </w:rPr>
              <w:t>Institution:</w:t>
            </w:r>
            <w:r w:rsidRPr="005D0D60">
              <w:rPr>
                <w:rFonts w:ascii="Times New Roman" w:hAnsi="Times New Roman"/>
                <w:sz w:val="20"/>
                <w:szCs w:val="20"/>
              </w:rPr>
              <w:t xml:space="preserve"> Oregon State University</w:t>
            </w:r>
          </w:p>
        </w:tc>
      </w:tr>
      <w:tr w:rsidR="002D38C7" w:rsidRPr="008335F9" w:rsidTr="006A74DB">
        <w:tc>
          <w:tcPr>
            <w:tcW w:w="4788" w:type="dxa"/>
            <w:tcBorders>
              <w:top w:val="single" w:sz="4" w:space="0" w:color="auto"/>
              <w:bottom w:val="single" w:sz="4" w:space="0" w:color="auto"/>
            </w:tcBorders>
            <w:shd w:val="clear" w:color="auto" w:fill="auto"/>
          </w:tcPr>
          <w:p w:rsidR="002D38C7" w:rsidRPr="005D0D60" w:rsidRDefault="002D38C7" w:rsidP="006A74DB">
            <w:pPr>
              <w:rPr>
                <w:rFonts w:ascii="Times New Roman" w:hAnsi="Times New Roman"/>
                <w:sz w:val="20"/>
                <w:szCs w:val="20"/>
              </w:rPr>
            </w:pPr>
            <w:r w:rsidRPr="005D0D60">
              <w:rPr>
                <w:rFonts w:ascii="Times New Roman" w:hAnsi="Times New Roman"/>
                <w:b/>
                <w:sz w:val="20"/>
                <w:szCs w:val="20"/>
              </w:rPr>
              <w:t>CO-PD:</w:t>
            </w:r>
            <w:r w:rsidRPr="005D0D60">
              <w:rPr>
                <w:rFonts w:ascii="Times New Roman" w:hAnsi="Times New Roman"/>
                <w:sz w:val="20"/>
                <w:szCs w:val="20"/>
              </w:rPr>
              <w:t xml:space="preserve"> </w:t>
            </w:r>
            <w:r>
              <w:rPr>
                <w:rFonts w:ascii="Times New Roman" w:hAnsi="Times New Roman"/>
                <w:sz w:val="20"/>
                <w:szCs w:val="20"/>
              </w:rPr>
              <w:t>Root, Heather</w:t>
            </w:r>
          </w:p>
        </w:tc>
        <w:tc>
          <w:tcPr>
            <w:tcW w:w="4788" w:type="dxa"/>
            <w:tcBorders>
              <w:top w:val="single" w:sz="4" w:space="0" w:color="auto"/>
              <w:bottom w:val="single" w:sz="4" w:space="0" w:color="auto"/>
            </w:tcBorders>
            <w:shd w:val="clear" w:color="auto" w:fill="auto"/>
          </w:tcPr>
          <w:p w:rsidR="002D38C7" w:rsidRPr="005D0D60" w:rsidRDefault="002D38C7" w:rsidP="006A74DB">
            <w:pPr>
              <w:rPr>
                <w:rFonts w:ascii="Times New Roman" w:hAnsi="Times New Roman"/>
                <w:sz w:val="20"/>
                <w:szCs w:val="20"/>
              </w:rPr>
            </w:pPr>
            <w:r w:rsidRPr="005D0D60">
              <w:rPr>
                <w:rFonts w:ascii="Times New Roman" w:hAnsi="Times New Roman"/>
                <w:b/>
                <w:sz w:val="20"/>
                <w:szCs w:val="20"/>
              </w:rPr>
              <w:t>Institution:</w:t>
            </w:r>
            <w:r w:rsidRPr="005D0D60">
              <w:rPr>
                <w:rFonts w:ascii="Times New Roman" w:hAnsi="Times New Roman"/>
                <w:sz w:val="20"/>
                <w:szCs w:val="20"/>
              </w:rPr>
              <w:t xml:space="preserve"> Oregon State University</w:t>
            </w:r>
          </w:p>
        </w:tc>
      </w:tr>
      <w:tr w:rsidR="002045C9" w:rsidRPr="008335F9" w:rsidTr="00234A1C">
        <w:tc>
          <w:tcPr>
            <w:tcW w:w="4788" w:type="dxa"/>
            <w:tcBorders>
              <w:top w:val="single" w:sz="4" w:space="0" w:color="auto"/>
              <w:bottom w:val="single" w:sz="4" w:space="0" w:color="auto"/>
            </w:tcBorders>
            <w:shd w:val="clear" w:color="auto" w:fill="auto"/>
          </w:tcPr>
          <w:p w:rsidR="002045C9" w:rsidRPr="005D0D60" w:rsidRDefault="002045C9" w:rsidP="002D38C7">
            <w:pPr>
              <w:rPr>
                <w:rFonts w:ascii="Times New Roman" w:hAnsi="Times New Roman"/>
                <w:sz w:val="20"/>
                <w:szCs w:val="20"/>
              </w:rPr>
            </w:pPr>
            <w:r w:rsidRPr="005D0D60">
              <w:rPr>
                <w:rFonts w:ascii="Times New Roman" w:hAnsi="Times New Roman"/>
                <w:b/>
                <w:sz w:val="20"/>
                <w:szCs w:val="20"/>
              </w:rPr>
              <w:t>CO-PD:</w:t>
            </w:r>
            <w:r w:rsidRPr="005D0D60">
              <w:rPr>
                <w:rFonts w:ascii="Times New Roman" w:hAnsi="Times New Roman"/>
                <w:sz w:val="20"/>
                <w:szCs w:val="20"/>
              </w:rPr>
              <w:t xml:space="preserve"> </w:t>
            </w:r>
            <w:r w:rsidR="002D38C7">
              <w:rPr>
                <w:rFonts w:ascii="Times New Roman" w:hAnsi="Times New Roman"/>
                <w:sz w:val="20"/>
                <w:szCs w:val="20"/>
              </w:rPr>
              <w:t>Ault, Kori</w:t>
            </w:r>
          </w:p>
        </w:tc>
        <w:tc>
          <w:tcPr>
            <w:tcW w:w="4788" w:type="dxa"/>
            <w:tcBorders>
              <w:top w:val="single" w:sz="4" w:space="0" w:color="auto"/>
              <w:bottom w:val="single" w:sz="4" w:space="0" w:color="auto"/>
            </w:tcBorders>
            <w:shd w:val="clear" w:color="auto" w:fill="auto"/>
          </w:tcPr>
          <w:p w:rsidR="002045C9" w:rsidRPr="005D0D60" w:rsidRDefault="002045C9" w:rsidP="00234A1C">
            <w:pPr>
              <w:rPr>
                <w:rFonts w:ascii="Times New Roman" w:hAnsi="Times New Roman"/>
                <w:sz w:val="20"/>
                <w:szCs w:val="20"/>
              </w:rPr>
            </w:pPr>
            <w:r w:rsidRPr="005D0D60">
              <w:rPr>
                <w:rFonts w:ascii="Times New Roman" w:hAnsi="Times New Roman"/>
                <w:b/>
                <w:sz w:val="20"/>
                <w:szCs w:val="20"/>
              </w:rPr>
              <w:t>Institution:</w:t>
            </w:r>
            <w:r w:rsidRPr="005D0D60">
              <w:rPr>
                <w:rFonts w:ascii="Times New Roman" w:hAnsi="Times New Roman"/>
                <w:sz w:val="20"/>
                <w:szCs w:val="20"/>
              </w:rPr>
              <w:t xml:space="preserve"> Oregon State University</w:t>
            </w:r>
          </w:p>
        </w:tc>
      </w:tr>
      <w:tr w:rsidR="002045C9" w:rsidRPr="009874F9" w:rsidTr="00234A1C">
        <w:tc>
          <w:tcPr>
            <w:tcW w:w="9576" w:type="dxa"/>
            <w:gridSpan w:val="2"/>
            <w:tcBorders>
              <w:top w:val="single" w:sz="4" w:space="0" w:color="auto"/>
              <w:bottom w:val="single" w:sz="4" w:space="0" w:color="auto"/>
            </w:tcBorders>
            <w:shd w:val="clear" w:color="auto" w:fill="auto"/>
          </w:tcPr>
          <w:p w:rsidR="002045C9" w:rsidRPr="005D0D60" w:rsidRDefault="002045C9" w:rsidP="00234A1C">
            <w:pPr>
              <w:rPr>
                <w:rFonts w:ascii="Times New Roman" w:hAnsi="Times New Roman"/>
              </w:rPr>
            </w:pPr>
          </w:p>
          <w:p w:rsidR="002045C9" w:rsidRPr="005D0D60" w:rsidRDefault="002045C9" w:rsidP="00234A1C">
            <w:pPr>
              <w:rPr>
                <w:rFonts w:ascii="Times New Roman" w:hAnsi="Times New Roman"/>
              </w:rPr>
            </w:pPr>
          </w:p>
          <w:p w:rsidR="002045C9" w:rsidRPr="005D0D60" w:rsidRDefault="002045C9" w:rsidP="00234A1C">
            <w:pPr>
              <w:rPr>
                <w:rFonts w:ascii="Times New Roman" w:hAnsi="Times New Roman"/>
              </w:rPr>
            </w:pPr>
          </w:p>
        </w:tc>
      </w:tr>
      <w:tr w:rsidR="002045C9" w:rsidRPr="009874F9" w:rsidTr="00234A1C">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2045C9" w:rsidRPr="00586A11" w:rsidRDefault="002045C9" w:rsidP="005C2D87">
            <w:pPr>
              <w:spacing w:before="120" w:after="120"/>
              <w:rPr>
                <w:rFonts w:ascii="Times New Roman" w:hAnsi="Times New Roman"/>
              </w:rPr>
            </w:pPr>
            <w:r w:rsidRPr="00586A11">
              <w:rPr>
                <w:rFonts w:ascii="Times New Roman" w:hAnsi="Times New Roman"/>
              </w:rPr>
              <w:t>The dispersal of transgenes from genetically engineered plants presents substantial challenges to biotechnology regulatory bodies. Because forest trees are weakly domesticated, have wild relatives, and pollen or seeds can spread widely, they are especially problematic. However, plantation trees are often vegetatively</w:t>
            </w:r>
            <w:r w:rsidR="00737BF8">
              <w:rPr>
                <w:rFonts w:ascii="Times New Roman" w:hAnsi="Times New Roman"/>
              </w:rPr>
              <w:t xml:space="preserve"> </w:t>
            </w:r>
            <w:r w:rsidR="00737BF8" w:rsidRPr="00586A11">
              <w:rPr>
                <w:rFonts w:ascii="Times New Roman" w:hAnsi="Times New Roman"/>
              </w:rPr>
              <w:t>propagated</w:t>
            </w:r>
            <w:r w:rsidRPr="00586A11">
              <w:rPr>
                <w:rFonts w:ascii="Times New Roman" w:hAnsi="Times New Roman"/>
              </w:rPr>
              <w:t xml:space="preserve">, making </w:t>
            </w:r>
            <w:r>
              <w:rPr>
                <w:rFonts w:ascii="Times New Roman" w:hAnsi="Times New Roman"/>
              </w:rPr>
              <w:t xml:space="preserve">fertile </w:t>
            </w:r>
            <w:r w:rsidRPr="00586A11">
              <w:rPr>
                <w:rFonts w:ascii="Times New Roman" w:hAnsi="Times New Roman"/>
              </w:rPr>
              <w:t>flowers unnecessary for commercial use. Thus, genes that induce complete sterility could provide strong and simple mitigation of dispersal, simplifying regulatory decisions. We propose to study the efficacy, stability</w:t>
            </w:r>
            <w:r w:rsidR="00737BF8">
              <w:rPr>
                <w:rFonts w:ascii="Times New Roman" w:hAnsi="Times New Roman"/>
              </w:rPr>
              <w:t>,</w:t>
            </w:r>
            <w:r w:rsidRPr="00586A11">
              <w:rPr>
                <w:rFonts w:ascii="Times New Roman" w:hAnsi="Times New Roman"/>
              </w:rPr>
              <w:t xml:space="preserve"> and ecological impacts of floral developmental genes as </w:t>
            </w:r>
            <w:r w:rsidR="00737BF8">
              <w:rPr>
                <w:rFonts w:ascii="Times New Roman" w:hAnsi="Times New Roman"/>
              </w:rPr>
              <w:t>tools</w:t>
            </w:r>
            <w:r w:rsidRPr="00586A11">
              <w:rPr>
                <w:rFonts w:ascii="Times New Roman" w:hAnsi="Times New Roman"/>
              </w:rPr>
              <w:t xml:space="preserve"> for mitigating </w:t>
            </w:r>
            <w:r w:rsidR="00737BF8">
              <w:rPr>
                <w:rFonts w:ascii="Times New Roman" w:hAnsi="Times New Roman"/>
              </w:rPr>
              <w:t>or preventing transgene spread</w:t>
            </w:r>
            <w:r w:rsidRPr="00586A11">
              <w:rPr>
                <w:rFonts w:ascii="Times New Roman" w:hAnsi="Times New Roman"/>
              </w:rPr>
              <w:t>. We esta</w:t>
            </w:r>
            <w:bookmarkStart w:id="0" w:name="_GoBack"/>
            <w:bookmarkEnd w:id="0"/>
            <w:r w:rsidRPr="00586A11">
              <w:rPr>
                <w:rFonts w:ascii="Times New Roman" w:hAnsi="Times New Roman"/>
              </w:rPr>
              <w:t xml:space="preserve">blished a plantation of </w:t>
            </w:r>
            <w:r w:rsidR="00737BF8">
              <w:rPr>
                <w:rFonts w:ascii="Times New Roman" w:hAnsi="Times New Roman"/>
              </w:rPr>
              <w:t>transgenic poplars that contain</w:t>
            </w:r>
            <w:r w:rsidRPr="00586A11">
              <w:rPr>
                <w:rFonts w:ascii="Times New Roman" w:hAnsi="Times New Roman"/>
              </w:rPr>
              <w:t xml:space="preserve"> 19 different constructs </w:t>
            </w:r>
            <w:r w:rsidR="00737BF8">
              <w:rPr>
                <w:rFonts w:ascii="Times New Roman" w:hAnsi="Times New Roman"/>
              </w:rPr>
              <w:t>that modify the expression of</w:t>
            </w:r>
            <w:r w:rsidRPr="00586A11">
              <w:rPr>
                <w:rFonts w:ascii="Times New Roman" w:hAnsi="Times New Roman"/>
              </w:rPr>
              <w:t xml:space="preserve"> poplar orthologs of conserved floral development genes, including </w:t>
            </w:r>
            <w:r w:rsidRPr="00586A11">
              <w:rPr>
                <w:rFonts w:ascii="Times New Roman" w:hAnsi="Times New Roman"/>
                <w:i/>
              </w:rPr>
              <w:t>LEAFY</w:t>
            </w:r>
            <w:r w:rsidRPr="00586A11">
              <w:rPr>
                <w:rFonts w:ascii="Times New Roman" w:hAnsi="Times New Roman"/>
              </w:rPr>
              <w:t xml:space="preserve">, </w:t>
            </w:r>
            <w:r w:rsidRPr="00586A11">
              <w:rPr>
                <w:rFonts w:ascii="Times New Roman" w:hAnsi="Times New Roman"/>
                <w:i/>
              </w:rPr>
              <w:t xml:space="preserve">AGAMOUS, </w:t>
            </w:r>
            <w:r w:rsidRPr="00586A11">
              <w:rPr>
                <w:rFonts w:ascii="Times New Roman" w:hAnsi="Times New Roman"/>
              </w:rPr>
              <w:t xml:space="preserve">and </w:t>
            </w:r>
            <w:r w:rsidRPr="00586A11">
              <w:rPr>
                <w:rFonts w:ascii="Times New Roman" w:hAnsi="Times New Roman"/>
                <w:i/>
              </w:rPr>
              <w:t>APETALA1</w:t>
            </w:r>
            <w:r w:rsidRPr="00586A11">
              <w:rPr>
                <w:rFonts w:ascii="Times New Roman" w:hAnsi="Times New Roman"/>
              </w:rPr>
              <w:t>. Some constru</w:t>
            </w:r>
            <w:r w:rsidR="00737BF8">
              <w:rPr>
                <w:rFonts w:ascii="Times New Roman" w:hAnsi="Times New Roman"/>
              </w:rPr>
              <w:t>cts should modify two to three</w:t>
            </w:r>
            <w:r w:rsidRPr="00586A11">
              <w:rPr>
                <w:rFonts w:ascii="Times New Roman" w:hAnsi="Times New Roman"/>
              </w:rPr>
              <w:t xml:space="preserve"> genes simultaneously. We will: 1) study the spectrum of vegetative, floral, and </w:t>
            </w:r>
            <w:r>
              <w:rPr>
                <w:rFonts w:ascii="Times New Roman" w:hAnsi="Times New Roman"/>
              </w:rPr>
              <w:t xml:space="preserve">seed </w:t>
            </w:r>
            <w:r w:rsidRPr="00586A11">
              <w:rPr>
                <w:rFonts w:ascii="Times New Roman" w:hAnsi="Times New Roman"/>
              </w:rPr>
              <w:t>capsule morphology in a population of 311 insertion events in early flowering poplar genotype 6K10</w:t>
            </w:r>
            <w:r>
              <w:rPr>
                <w:rFonts w:ascii="Times New Roman" w:hAnsi="Times New Roman"/>
              </w:rPr>
              <w:t>;</w:t>
            </w:r>
            <w:r w:rsidRPr="00586A11">
              <w:rPr>
                <w:rFonts w:ascii="Times New Roman" w:hAnsi="Times New Roman"/>
              </w:rPr>
              <w:t xml:space="preserve"> 2) identify constructs and/or gene targets which lead to strong sterility</w:t>
            </w:r>
            <w:r>
              <w:rPr>
                <w:rFonts w:ascii="Times New Roman" w:hAnsi="Times New Roman"/>
              </w:rPr>
              <w:t xml:space="preserve"> or floral modification;</w:t>
            </w:r>
            <w:r w:rsidRPr="00586A11">
              <w:rPr>
                <w:rFonts w:ascii="Times New Roman" w:hAnsi="Times New Roman"/>
              </w:rPr>
              <w:t xml:space="preserve"> 3) analyze the stability of</w:t>
            </w:r>
            <w:r>
              <w:rPr>
                <w:rFonts w:ascii="Times New Roman" w:hAnsi="Times New Roman"/>
              </w:rPr>
              <w:t xml:space="preserve"> transgene expression or</w:t>
            </w:r>
            <w:r w:rsidRPr="00586A11">
              <w:rPr>
                <w:rFonts w:ascii="Times New Roman" w:hAnsi="Times New Roman"/>
              </w:rPr>
              <w:t xml:space="preserve"> target gene suppression</w:t>
            </w:r>
            <w:r>
              <w:rPr>
                <w:rFonts w:ascii="Times New Roman" w:hAnsi="Times New Roman"/>
              </w:rPr>
              <w:t xml:space="preserve"> (RNAi)</w:t>
            </w:r>
            <w:r w:rsidRPr="00586A11">
              <w:rPr>
                <w:rFonts w:ascii="Times New Roman" w:hAnsi="Times New Roman"/>
              </w:rPr>
              <w:t xml:space="preserve"> over years</w:t>
            </w:r>
            <w:r>
              <w:rPr>
                <w:rFonts w:ascii="Times New Roman" w:hAnsi="Times New Roman"/>
              </w:rPr>
              <w:t>;</w:t>
            </w:r>
            <w:r w:rsidRPr="00586A11">
              <w:rPr>
                <w:rFonts w:ascii="Times New Roman" w:hAnsi="Times New Roman"/>
              </w:rPr>
              <w:t xml:space="preserve"> 4) assess stability </w:t>
            </w:r>
            <w:r>
              <w:rPr>
                <w:rFonts w:ascii="Times New Roman" w:hAnsi="Times New Roman"/>
              </w:rPr>
              <w:t>of observed</w:t>
            </w:r>
            <w:r w:rsidRPr="00586A11">
              <w:rPr>
                <w:rFonts w:ascii="Times New Roman" w:hAnsi="Times New Roman"/>
              </w:rPr>
              <w:t xml:space="preserve"> vegetative, floral, and seed development </w:t>
            </w:r>
            <w:r>
              <w:rPr>
                <w:rFonts w:ascii="Times New Roman" w:hAnsi="Times New Roman"/>
              </w:rPr>
              <w:t>phenotypes;</w:t>
            </w:r>
            <w:r w:rsidRPr="00586A11">
              <w:rPr>
                <w:rFonts w:ascii="Times New Roman" w:hAnsi="Times New Roman"/>
              </w:rPr>
              <w:t xml:space="preserve"> and 5) through intensive literature review, evaluate the likely ecological impacts of floral modification on biological diversity in relation to plantation establishment effects. The transgenic constructs were produced, transformed into poplar, transgene integrity confirmed, plants propagated, and </w:t>
            </w:r>
            <w:r w:rsidR="005C2D87">
              <w:rPr>
                <w:rFonts w:ascii="Times New Roman" w:hAnsi="Times New Roman"/>
              </w:rPr>
              <w:t>an APHIS-approved,</w:t>
            </w:r>
            <w:r w:rsidR="005C2D87" w:rsidRPr="00586A11">
              <w:rPr>
                <w:rFonts w:ascii="Times New Roman" w:hAnsi="Times New Roman"/>
              </w:rPr>
              <w:t xml:space="preserve"> </w:t>
            </w:r>
            <w:r w:rsidR="005C2D87">
              <w:rPr>
                <w:rFonts w:ascii="Times New Roman" w:hAnsi="Times New Roman"/>
              </w:rPr>
              <w:t xml:space="preserve">flowering </w:t>
            </w:r>
            <w:r w:rsidRPr="00586A11">
              <w:rPr>
                <w:rFonts w:ascii="Times New Roman" w:hAnsi="Times New Roman"/>
              </w:rPr>
              <w:t>plantation established</w:t>
            </w:r>
            <w:r w:rsidR="005C2D87">
              <w:rPr>
                <w:rFonts w:ascii="Times New Roman" w:hAnsi="Times New Roman"/>
              </w:rPr>
              <w:t xml:space="preserve"> </w:t>
            </w:r>
            <w:r w:rsidRPr="00586A11">
              <w:rPr>
                <w:rFonts w:ascii="Times New Roman" w:hAnsi="Times New Roman"/>
              </w:rPr>
              <w:t xml:space="preserve">in prior work. </w:t>
            </w:r>
            <w:r w:rsidR="007976B1">
              <w:rPr>
                <w:rFonts w:ascii="Times New Roman" w:hAnsi="Times New Roman"/>
              </w:rPr>
              <w:t xml:space="preserve">Our results will inform a variety of developing containment technologies, including directed mutagenesis methods.  </w:t>
            </w:r>
          </w:p>
        </w:tc>
      </w:tr>
    </w:tbl>
    <w:p w:rsidR="002045C9" w:rsidRDefault="002045C9" w:rsidP="002045C9">
      <w:pPr>
        <w:pStyle w:val="HeaderS2"/>
        <w:rPr>
          <w:rFonts w:ascii="Calibri" w:eastAsia="Times" w:hAnsi="Calibri" w:cs="Calibri"/>
        </w:rPr>
      </w:pPr>
    </w:p>
    <w:p w:rsidR="003A4D87" w:rsidRDefault="003A4D87"/>
    <w:sectPr w:rsidR="003A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Strauss">
    <w15:presenceInfo w15:providerId="Windows Live" w15:userId="e0365d68d7d123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C9"/>
    <w:rsid w:val="002045C9"/>
    <w:rsid w:val="002D38C7"/>
    <w:rsid w:val="003A4D87"/>
    <w:rsid w:val="005C2D87"/>
    <w:rsid w:val="006E2DA3"/>
    <w:rsid w:val="00737BF8"/>
    <w:rsid w:val="00772CFE"/>
    <w:rsid w:val="007976B1"/>
    <w:rsid w:val="00CD5DCF"/>
    <w:rsid w:val="00DA033E"/>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C9"/>
    <w:pPr>
      <w:spacing w:after="0" w:line="240" w:lineRule="auto"/>
      <w:ind w:firstLine="360"/>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2">
    <w:name w:val="Header S2"/>
    <w:next w:val="Normal"/>
    <w:link w:val="HeaderS2Char"/>
    <w:autoRedefine/>
    <w:qFormat/>
    <w:rsid w:val="002045C9"/>
    <w:pPr>
      <w:keepNext/>
      <w:spacing w:after="120" w:line="240" w:lineRule="auto"/>
      <w:jc w:val="center"/>
    </w:pPr>
    <w:rPr>
      <w:rFonts w:ascii="Times New Roman" w:eastAsia="Calibri" w:hAnsi="Times New Roman" w:cs="Times New Roman"/>
      <w:b/>
      <w:sz w:val="24"/>
      <w:szCs w:val="24"/>
    </w:rPr>
  </w:style>
  <w:style w:type="character" w:customStyle="1" w:styleId="HeaderS2Char">
    <w:name w:val="Header S2 Char"/>
    <w:link w:val="HeaderS2"/>
    <w:rsid w:val="002045C9"/>
    <w:rPr>
      <w:rFonts w:ascii="Times New Roman" w:eastAsia="Calibri" w:hAnsi="Times New Roman" w:cs="Times New Roman"/>
      <w:b/>
      <w:sz w:val="24"/>
      <w:szCs w:val="24"/>
    </w:rPr>
  </w:style>
  <w:style w:type="character" w:styleId="CommentReference">
    <w:name w:val="annotation reference"/>
    <w:rsid w:val="002045C9"/>
    <w:rPr>
      <w:sz w:val="16"/>
      <w:szCs w:val="16"/>
    </w:rPr>
  </w:style>
  <w:style w:type="paragraph" w:styleId="CommentText">
    <w:name w:val="annotation text"/>
    <w:basedOn w:val="Normal"/>
    <w:link w:val="CommentTextChar"/>
    <w:rsid w:val="002045C9"/>
    <w:rPr>
      <w:sz w:val="20"/>
      <w:szCs w:val="20"/>
      <w:lang w:val="x-none" w:eastAsia="x-none"/>
    </w:rPr>
  </w:style>
  <w:style w:type="character" w:customStyle="1" w:styleId="CommentTextChar">
    <w:name w:val="Comment Text Char"/>
    <w:basedOn w:val="DefaultParagraphFont"/>
    <w:link w:val="CommentText"/>
    <w:rsid w:val="002045C9"/>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2045C9"/>
    <w:rPr>
      <w:rFonts w:ascii="Tahoma" w:hAnsi="Tahoma" w:cs="Tahoma"/>
      <w:sz w:val="16"/>
      <w:szCs w:val="16"/>
    </w:rPr>
  </w:style>
  <w:style w:type="character" w:customStyle="1" w:styleId="BalloonTextChar">
    <w:name w:val="Balloon Text Char"/>
    <w:basedOn w:val="DefaultParagraphFont"/>
    <w:link w:val="BalloonText"/>
    <w:uiPriority w:val="99"/>
    <w:semiHidden/>
    <w:rsid w:val="002045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C9"/>
    <w:pPr>
      <w:spacing w:after="0" w:line="240" w:lineRule="auto"/>
      <w:ind w:firstLine="360"/>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2">
    <w:name w:val="Header S2"/>
    <w:next w:val="Normal"/>
    <w:link w:val="HeaderS2Char"/>
    <w:autoRedefine/>
    <w:qFormat/>
    <w:rsid w:val="002045C9"/>
    <w:pPr>
      <w:keepNext/>
      <w:spacing w:after="120" w:line="240" w:lineRule="auto"/>
      <w:jc w:val="center"/>
    </w:pPr>
    <w:rPr>
      <w:rFonts w:ascii="Times New Roman" w:eastAsia="Calibri" w:hAnsi="Times New Roman" w:cs="Times New Roman"/>
      <w:b/>
      <w:sz w:val="24"/>
      <w:szCs w:val="24"/>
    </w:rPr>
  </w:style>
  <w:style w:type="character" w:customStyle="1" w:styleId="HeaderS2Char">
    <w:name w:val="Header S2 Char"/>
    <w:link w:val="HeaderS2"/>
    <w:rsid w:val="002045C9"/>
    <w:rPr>
      <w:rFonts w:ascii="Times New Roman" w:eastAsia="Calibri" w:hAnsi="Times New Roman" w:cs="Times New Roman"/>
      <w:b/>
      <w:sz w:val="24"/>
      <w:szCs w:val="24"/>
    </w:rPr>
  </w:style>
  <w:style w:type="character" w:styleId="CommentReference">
    <w:name w:val="annotation reference"/>
    <w:rsid w:val="002045C9"/>
    <w:rPr>
      <w:sz w:val="16"/>
      <w:szCs w:val="16"/>
    </w:rPr>
  </w:style>
  <w:style w:type="paragraph" w:styleId="CommentText">
    <w:name w:val="annotation text"/>
    <w:basedOn w:val="Normal"/>
    <w:link w:val="CommentTextChar"/>
    <w:rsid w:val="002045C9"/>
    <w:rPr>
      <w:sz w:val="20"/>
      <w:szCs w:val="20"/>
      <w:lang w:val="x-none" w:eastAsia="x-none"/>
    </w:rPr>
  </w:style>
  <w:style w:type="character" w:customStyle="1" w:styleId="CommentTextChar">
    <w:name w:val="Comment Text Char"/>
    <w:basedOn w:val="DefaultParagraphFont"/>
    <w:link w:val="CommentText"/>
    <w:rsid w:val="002045C9"/>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2045C9"/>
    <w:rPr>
      <w:rFonts w:ascii="Tahoma" w:hAnsi="Tahoma" w:cs="Tahoma"/>
      <w:sz w:val="16"/>
      <w:szCs w:val="16"/>
    </w:rPr>
  </w:style>
  <w:style w:type="character" w:customStyle="1" w:styleId="BalloonTextChar">
    <w:name w:val="Balloon Text Char"/>
    <w:basedOn w:val="DefaultParagraphFont"/>
    <w:link w:val="BalloonText"/>
    <w:uiPriority w:val="99"/>
    <w:semiHidden/>
    <w:rsid w:val="002045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 Ault</dc:creator>
  <cp:lastModifiedBy>Kori Ault</cp:lastModifiedBy>
  <cp:revision>4</cp:revision>
  <cp:lastPrinted>2014-03-18T00:04:00Z</cp:lastPrinted>
  <dcterms:created xsi:type="dcterms:W3CDTF">2014-03-17T20:14:00Z</dcterms:created>
  <dcterms:modified xsi:type="dcterms:W3CDTF">2014-03-18T00:05:00Z</dcterms:modified>
</cp:coreProperties>
</file>